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iaoBiaoSong-B05S" w:hAnsi="FZXiaoBiaoSong-B05S" w:eastAsia="FZXiaoBiaoSong-B05S" w:cs="FZXiaoBiaoSong-B05S"/>
          <w:color w:val="000000"/>
          <w:kern w:val="0"/>
          <w:sz w:val="43"/>
          <w:szCs w:val="43"/>
          <w:lang w:val="en-US" w:eastAsia="zh-CN" w:bidi="ar"/>
        </w:rPr>
        <w:t>项目支出绩效评价报告</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一、基本情况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（一）项目概况。</w:t>
      </w:r>
    </w:p>
    <w:p>
      <w:pPr>
        <w:keepNext w:val="0"/>
        <w:keepLines w:val="0"/>
        <w:widowControl/>
        <w:suppressLineNumbers w:val="0"/>
        <w:ind w:firstLine="600" w:firstLineChars="200"/>
        <w:jc w:val="left"/>
      </w:pPr>
      <w:r>
        <w:rPr>
          <w:rFonts w:hint="eastAsia" w:ascii="仿宋" w:hAnsi="仿宋" w:eastAsia="仿宋"/>
          <w:sz w:val="30"/>
          <w:szCs w:val="30"/>
          <w:lang w:val="en-US" w:eastAsia="zh-CN"/>
        </w:rPr>
        <w:t>上犹县老干部活动中心</w:t>
      </w:r>
      <w:r>
        <w:rPr>
          <w:rFonts w:hint="eastAsia" w:ascii="仿宋" w:hAnsi="仿宋" w:eastAsia="仿宋"/>
          <w:sz w:val="30"/>
          <w:szCs w:val="30"/>
        </w:rPr>
        <w:t>是主管全县老干部工作的</w:t>
      </w:r>
      <w:r>
        <w:rPr>
          <w:rFonts w:hint="eastAsia" w:ascii="仿宋" w:hAnsi="仿宋" w:eastAsia="仿宋"/>
          <w:sz w:val="30"/>
          <w:szCs w:val="30"/>
          <w:lang w:val="en-US" w:eastAsia="zh-CN"/>
        </w:rPr>
        <w:t>部门</w:t>
      </w:r>
      <w:r>
        <w:rPr>
          <w:rFonts w:hint="eastAsia" w:ascii="仿宋" w:hAnsi="仿宋" w:eastAsia="仿宋"/>
          <w:sz w:val="30"/>
          <w:szCs w:val="30"/>
        </w:rPr>
        <w:t>，主要职责是：</w:t>
      </w:r>
      <w:r>
        <w:rPr>
          <w:rFonts w:hint="eastAsia" w:ascii="仿宋" w:hAnsi="仿宋" w:eastAsia="仿宋"/>
          <w:bCs/>
          <w:sz w:val="30"/>
          <w:szCs w:val="30"/>
          <w:lang w:val="en-US" w:eastAsia="zh-CN"/>
        </w:rPr>
        <w:t>承担全县离休干部和县级退休干部的服务管理，宣传贯彻落实老干部工作的有关方针政策，负责老干部活动中心大楼的日常管理工作，管理好各类财产设施，保持活动中心卫生整洁，为老同志提供优质服务，组织开展有益老同志身心健康的政治学习、书画、文体健身等活动，认真做好老年教育工作等职责。</w:t>
      </w:r>
    </w:p>
    <w:p>
      <w:pPr>
        <w:pStyle w:val="3"/>
        <w:numPr>
          <w:ilvl w:val="0"/>
          <w:numId w:val="1"/>
        </w:numPr>
        <w:ind w:firstLine="632"/>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项目绩效目标。</w:t>
      </w:r>
    </w:p>
    <w:p>
      <w:pPr>
        <w:pStyle w:val="3"/>
        <w:numPr>
          <w:ilvl w:val="0"/>
          <w:numId w:val="0"/>
        </w:numPr>
        <w:ind w:firstLine="600" w:firstLineChars="200"/>
      </w:pPr>
      <w:r>
        <w:rPr>
          <w:rFonts w:hint="eastAsia" w:ascii="仿宋" w:hAnsi="仿宋" w:eastAsia="仿宋"/>
          <w:sz w:val="30"/>
          <w:szCs w:val="30"/>
        </w:rPr>
        <w:t>服务老干部:服务老干部人数95人;政府中心工作</w:t>
      </w:r>
      <w:r>
        <w:rPr>
          <w:rFonts w:hint="eastAsia" w:ascii="仿宋" w:hAnsi="仿宋" w:eastAsia="仿宋"/>
          <w:sz w:val="30"/>
          <w:szCs w:val="30"/>
          <w:lang w:eastAsia="zh-CN"/>
        </w:rPr>
        <w:t>：</w:t>
      </w:r>
      <w:r>
        <w:rPr>
          <w:rFonts w:hint="eastAsia" w:ascii="仿宋" w:hAnsi="仿宋" w:eastAsia="仿宋"/>
          <w:sz w:val="30"/>
          <w:szCs w:val="30"/>
        </w:rPr>
        <w:t>安商、</w:t>
      </w:r>
      <w:r>
        <w:rPr>
          <w:rFonts w:hint="eastAsia" w:ascii="仿宋" w:hAnsi="仿宋" w:eastAsia="仿宋"/>
          <w:sz w:val="30"/>
          <w:szCs w:val="30"/>
          <w:lang w:eastAsia="zh-CN"/>
        </w:rPr>
        <w:t>乡村振兴</w:t>
      </w:r>
      <w:r>
        <w:rPr>
          <w:rFonts w:hint="eastAsia" w:ascii="仿宋" w:hAnsi="仿宋" w:eastAsia="仿宋"/>
          <w:sz w:val="30"/>
          <w:szCs w:val="30"/>
        </w:rPr>
        <w:t>、省级文明城市、卫生县城创建、综治及平安建设等5项工作; 开展老干部服务工作:开展“示范党支部”创建活动4次，组织老干部体检1次，重阳节组织老干部活动1次，节假日慰问老干部4次;信息公开:对年度部门预决算以及绩效进行公开、政务公开、重大政策公开，公开次数15次</w:t>
      </w:r>
      <w:r>
        <w:rPr>
          <w:rFonts w:hint="eastAsia" w:ascii="仿宋" w:hAnsi="仿宋" w:eastAsia="仿宋"/>
          <w:sz w:val="30"/>
          <w:szCs w:val="30"/>
          <w:lang w:eastAsia="zh-CN"/>
        </w:rPr>
        <w:t>。</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二、绩效评价工作开展情况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（一）绩效评价目的、对象和范围。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lang w:eastAsia="zh-CN"/>
        </w:rPr>
        <w:t>绩效</w:t>
      </w:r>
      <w:r>
        <w:rPr>
          <w:rFonts w:hint="eastAsia" w:ascii="仿宋" w:hAnsi="仿宋" w:eastAsia="仿宋" w:cs="仿宋_GB2312"/>
          <w:sz w:val="32"/>
          <w:szCs w:val="40"/>
          <w:lang w:val="en-US" w:eastAsia="zh-CN"/>
        </w:rPr>
        <w:t>评价</w:t>
      </w:r>
      <w:r>
        <w:rPr>
          <w:rFonts w:hint="eastAsia" w:ascii="仿宋" w:hAnsi="仿宋" w:eastAsia="仿宋"/>
          <w:sz w:val="30"/>
          <w:szCs w:val="30"/>
          <w:lang w:eastAsia="zh-CN"/>
        </w:rPr>
        <w:t>目标：</w:t>
      </w:r>
      <w:r>
        <w:rPr>
          <w:rFonts w:hint="eastAsia" w:ascii="仿宋" w:hAnsi="仿宋" w:eastAsia="仿宋"/>
          <w:sz w:val="30"/>
          <w:szCs w:val="30"/>
        </w:rPr>
        <w:t>服务老干部:服务老干部人数95人;政府中心工作</w:t>
      </w:r>
      <w:r>
        <w:rPr>
          <w:rFonts w:hint="eastAsia" w:ascii="仿宋" w:hAnsi="仿宋" w:eastAsia="仿宋"/>
          <w:sz w:val="30"/>
          <w:szCs w:val="30"/>
          <w:lang w:eastAsia="zh-CN"/>
        </w:rPr>
        <w:t>：</w:t>
      </w:r>
      <w:r>
        <w:rPr>
          <w:rFonts w:hint="eastAsia" w:ascii="仿宋" w:hAnsi="仿宋" w:eastAsia="仿宋"/>
          <w:sz w:val="30"/>
          <w:szCs w:val="30"/>
        </w:rPr>
        <w:t>安商、</w:t>
      </w:r>
      <w:r>
        <w:rPr>
          <w:rFonts w:hint="eastAsia" w:ascii="仿宋" w:hAnsi="仿宋" w:eastAsia="仿宋"/>
          <w:sz w:val="30"/>
          <w:szCs w:val="30"/>
          <w:lang w:eastAsia="zh-CN"/>
        </w:rPr>
        <w:t>乡村振兴</w:t>
      </w:r>
      <w:r>
        <w:rPr>
          <w:rFonts w:hint="eastAsia" w:ascii="仿宋" w:hAnsi="仿宋" w:eastAsia="仿宋"/>
          <w:sz w:val="30"/>
          <w:szCs w:val="30"/>
        </w:rPr>
        <w:t>、省级文明城市、卫生县城创建、综治及平安建设等5项工作; 开展老干部服务工作:开展“示范党支部”创建活动4次，组织老干部体检1次，重阳节组织老干部活动1次，节假日慰问老干部4次;信息公开:对年度部门预决算以及绩效进行公开、政务公开、重大政策公开，公开次数15次</w:t>
      </w:r>
      <w:r>
        <w:rPr>
          <w:rFonts w:hint="eastAsia" w:ascii="仿宋" w:hAnsi="仿宋" w:eastAsia="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绩效评价对象：上犹县老干部活动中心。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绩效评价范围：2023年度项目支出绩效(批复部门预算项目9个)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 xml:space="preserve">（二）绩效评价原则、评价指标体系（附表说明）、评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价方法、评价标准等。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原则：（1）相关性原则。应当与绩效目标有直接的联系，能够恰当反映目标的实现程度。（2）重要性原则。应当优先使用最具评价对象代表性、最能反映评价要求的核心指标。（3）可比性原则。对同类评价对象要设定共性的绩效评价指标，以便于评价结果可以相互比较。（4）系统性原则。应当将定量指标与定性指标相结合，系统反映财政支出所产生的社会效益、经济效益、环境效益和可持续影响等。（5）经济性原则。应当通俗易懂、简便易行，数据的获得应当考虑现实条件和可操作性，符合成本效益原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项目立项根据“三定”方案立项，绩效目标根据“三定”方案中的部门职责以及年度工作计划设定，资金投入和资金分配合理性根据财政核定的预算控制数编制及分配使用，预算执行率全部达标，资金使用真实合理合规，完成全年绩效目标，社会公众或服务对象对项目实施效果的满意程度全部达标。</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评价指标体系</w:t>
      </w:r>
      <w:r>
        <w:rPr>
          <w:rFonts w:hint="eastAsia" w:ascii="仿宋_GB2312" w:hAnsi="仿宋_GB2312" w:eastAsia="仿宋_GB2312" w:cs="仿宋_GB2312"/>
          <w:color w:val="000000"/>
          <w:kern w:val="0"/>
          <w:sz w:val="31"/>
          <w:szCs w:val="31"/>
          <w:lang w:val="en-US" w:eastAsia="zh-CN" w:bidi="ar"/>
        </w:rPr>
        <w:t>（见下表）</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pPr>
      <w:r>
        <w:drawing>
          <wp:inline distT="0" distB="0" distL="114300" distR="114300">
            <wp:extent cx="5267960" cy="298196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7960" cy="2981960"/>
                    </a:xfrm>
                    <a:prstGeom prst="rect">
                      <a:avLst/>
                    </a:prstGeom>
                    <a:noFill/>
                    <a:ln>
                      <a:noFill/>
                    </a:ln>
                  </pic:spPr>
                </pic:pic>
              </a:graphicData>
            </a:graphic>
          </wp:inline>
        </w:drawing>
      </w:r>
    </w:p>
    <w:p>
      <w:pPr>
        <w:keepNext w:val="0"/>
        <w:keepLines w:val="0"/>
        <w:widowControl/>
        <w:suppressLineNumbers w:val="0"/>
        <w:jc w:val="left"/>
      </w:pPr>
      <w:r>
        <w:drawing>
          <wp:inline distT="0" distB="0" distL="114300" distR="114300">
            <wp:extent cx="5267960" cy="3184525"/>
            <wp:effectExtent l="0" t="0" r="508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7960" cy="3184525"/>
                    </a:xfrm>
                    <a:prstGeom prst="rect">
                      <a:avLst/>
                    </a:prstGeom>
                    <a:noFill/>
                    <a:ln>
                      <a:noFill/>
                    </a:ln>
                  </pic:spPr>
                </pic:pic>
              </a:graphicData>
            </a:graphic>
          </wp:inline>
        </w:drawing>
      </w:r>
    </w:p>
    <w:p>
      <w:pPr>
        <w:keepNext w:val="0"/>
        <w:keepLines w:val="0"/>
        <w:widowControl/>
        <w:suppressLineNumbers w:val="0"/>
        <w:jc w:val="left"/>
      </w:pPr>
      <w:r>
        <w:drawing>
          <wp:inline distT="0" distB="0" distL="114300" distR="114300">
            <wp:extent cx="5267960" cy="3188335"/>
            <wp:effectExtent l="0" t="0" r="508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7960" cy="3188335"/>
                    </a:xfrm>
                    <a:prstGeom prst="rect">
                      <a:avLst/>
                    </a:prstGeom>
                    <a:noFill/>
                    <a:ln>
                      <a:noFill/>
                    </a:ln>
                  </pic:spPr>
                </pic:pic>
              </a:graphicData>
            </a:graphic>
          </wp:inline>
        </w:drawing>
      </w:r>
    </w:p>
    <w:p>
      <w:pPr>
        <w:keepNext w:val="0"/>
        <w:keepLines w:val="0"/>
        <w:widowControl/>
        <w:suppressLineNumbers w:val="0"/>
        <w:jc w:val="left"/>
      </w:pPr>
      <w:r>
        <w:drawing>
          <wp:inline distT="0" distB="0" distL="114300" distR="114300">
            <wp:extent cx="5267960" cy="1197610"/>
            <wp:effectExtent l="0" t="0" r="508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7960" cy="1197610"/>
                    </a:xfrm>
                    <a:prstGeom prst="rect">
                      <a:avLst/>
                    </a:prstGeom>
                    <a:noFill/>
                    <a:ln>
                      <a:noFill/>
                    </a:ln>
                  </pic:spPr>
                </pic:pic>
              </a:graphicData>
            </a:graphic>
          </wp:inline>
        </w:drawing>
      </w:r>
    </w:p>
    <w:p>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绩效评价工作过程。</w:t>
      </w:r>
    </w:p>
    <w:p>
      <w:pPr>
        <w:keepNext w:val="0"/>
        <w:keepLines w:val="0"/>
        <w:widowControl/>
        <w:numPr>
          <w:ilvl w:val="0"/>
          <w:numId w:val="0"/>
        </w:numPr>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（1）确定绩效评价对象和绩效目标；（2）收集绩效评价相关资料；（3）对资料进行审查核实；（4）综合分析并形成评价结论；（5）撰写与提交评价报告；（6）公开绩效评价结果。</w:t>
      </w:r>
    </w:p>
    <w:p>
      <w:pPr>
        <w:keepNext w:val="0"/>
        <w:keepLines w:val="0"/>
        <w:widowControl/>
        <w:numPr>
          <w:ilvl w:val="0"/>
          <w:numId w:val="0"/>
        </w:numPr>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三、综合评价情况及评价结论（附相关评分表）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2023年，批复部门预算项目9个，预算114.77万元，本年实际支出108.06万元，预算执行率94%。</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（一）2023年春节走访慰问离退休干部等经费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2023年依据年初预算设立本项目，主要用于2023年春节走访慰问离退休干部。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本项目年度预算8.1万元，本年实际支出8.1万元，预算执行率100%。对照批复的绩效目标，绩效目标已完成，自评得分100分。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（二）2023年老友杂志征订工作经费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2023年依据年初预算设立本项目，主要用于2023年老友杂志征订工作经费。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本项目年度预算12.31万元，本年实际支出12.31万元，预算执行率100%。对照批复的绩效目标，绩效目标已完成，自评得分100分。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（三）2023年本级专项资金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2023年依据年初预算设立本项目，主要用于老干部经费。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本项目年度预算49.96万元，本年实际支出45.87万元，预算执行率91.81%。对照批复的绩效目标，绩效目标已完成，自评得分97分。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（四）非税收入返还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2023年依据年初预算设立本项目，主要用于保障经费。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本项目年度预算1.2万元，本年实际支出0万元，预算执率0%。对照批复的绩效目标，绩效目标未完成，自评得分0分。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2.存在的问题和下一步改进措施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未完成原因是2023年未向财政申请本单位非税收入返还，明年将根据单位需求设立项目。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（五）业务事业费-机关经费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2023年依据年初预算设立本项目，主要用于业务事业费-机关经费。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本项目年度预算16.63万元，本年实际支出15.81万元，预算执行率95%。对照批复的绩效目标，绩效目标已完成，自评得分97分。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（六）业务事业费-看望困难老干部3万元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2023年依据年初预算设立本项目，主要用于看望困难老干部。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本项目年度预算3万元，本年实际支出3万元，预算执行率100%。对照批复的绩效目标，绩效目标已完成，自评得分97分。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（七）业务事业费-老干特需费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2023年依据年初预算设立本项目，主要用于老干特需经费。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本项目年度预算7.816万元，本年实际支出7.06万元，预算执行率90.36%。对照批复的绩效目标，绩效目标基本完成，自评得分92.14分。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（八）2023年本级专项资金100万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2023年依据年初预算设立本项目，主要用于春节慰问走访。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本项目年度预算13.75万元，本年实际支出13.75万元，预算执行率100%。对照批复的绩效目标，绩效目标已完成，自评得分100分。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（九）其他收入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2023年依据年初预算设立本项目，主要用于单位自有资金。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1.绩效目标实现情况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本项目年度预算2万元，本年实际支出0.7603万元，预算执行率38.02%。对照批复的绩效目标，绩效目标未完成，自评得分为40分。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2.存在的问题和下一步改进措施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其他收入属于单位自有资金，收入无法估计。</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四、绩效评价指标分析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将项目实际支出与绩效目标对比（详见《</w:t>
      </w:r>
      <w:r>
        <w:rPr>
          <w:rFonts w:hint="eastAsia" w:ascii="仿宋" w:hAnsi="仿宋" w:eastAsia="仿宋"/>
          <w:sz w:val="30"/>
          <w:szCs w:val="30"/>
          <w:lang w:eastAsia="zh-CN"/>
        </w:rPr>
        <w:t>202</w:t>
      </w:r>
      <w:r>
        <w:rPr>
          <w:rFonts w:hint="eastAsia" w:ascii="仿宋" w:hAnsi="仿宋" w:eastAsia="仿宋"/>
          <w:sz w:val="30"/>
          <w:szCs w:val="30"/>
          <w:lang w:val="en-US" w:eastAsia="zh-CN"/>
        </w:rPr>
        <w:t>3</w:t>
      </w:r>
      <w:r>
        <w:rPr>
          <w:rFonts w:hint="eastAsia" w:ascii="仿宋" w:hAnsi="仿宋" w:eastAsia="仿宋"/>
          <w:sz w:val="30"/>
          <w:szCs w:val="30"/>
        </w:rPr>
        <w:t>年度部门预算绩效目标自评表》）</w:t>
      </w:r>
      <w:r>
        <w:rPr>
          <w:rFonts w:ascii="仿宋" w:hAnsi="仿宋" w:eastAsia="仿宋"/>
          <w:sz w:val="30"/>
          <w:szCs w:val="30"/>
        </w:rPr>
        <w:t>，</w:t>
      </w:r>
      <w:r>
        <w:rPr>
          <w:rFonts w:hint="eastAsia" w:ascii="仿宋" w:hAnsi="仿宋" w:eastAsia="仿宋"/>
          <w:sz w:val="30"/>
          <w:szCs w:val="30"/>
        </w:rPr>
        <w:t>从项目的经济性、</w:t>
      </w:r>
      <w:r>
        <w:rPr>
          <w:rFonts w:hint="eastAsia" w:ascii="仿宋" w:hAnsi="仿宋" w:eastAsia="仿宋"/>
          <w:sz w:val="30"/>
          <w:szCs w:val="30"/>
          <w:lang w:eastAsia="zh-CN"/>
        </w:rPr>
        <w:t>时效</w:t>
      </w:r>
      <w:r>
        <w:rPr>
          <w:rFonts w:hint="eastAsia" w:ascii="仿宋" w:hAnsi="仿宋" w:eastAsia="仿宋"/>
          <w:sz w:val="30"/>
          <w:szCs w:val="30"/>
        </w:rPr>
        <w:t>性、效益性和可持续性等方面进行分析。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1、经济性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b w:val="0"/>
          <w:bCs w:val="0"/>
          <w:sz w:val="30"/>
          <w:szCs w:val="30"/>
        </w:rPr>
        <w:t>项目预算控制情况，</w:t>
      </w:r>
      <w:r>
        <w:rPr>
          <w:rFonts w:hint="eastAsia" w:ascii="仿宋" w:hAnsi="仿宋" w:eastAsia="仿宋"/>
          <w:b w:val="0"/>
          <w:bCs w:val="0"/>
          <w:sz w:val="30"/>
          <w:szCs w:val="30"/>
          <w:lang w:eastAsia="zh-CN"/>
        </w:rPr>
        <w:t>202</w:t>
      </w:r>
      <w:r>
        <w:rPr>
          <w:rFonts w:hint="eastAsia" w:ascii="仿宋" w:hAnsi="仿宋" w:eastAsia="仿宋"/>
          <w:b w:val="0"/>
          <w:bCs w:val="0"/>
          <w:sz w:val="30"/>
          <w:szCs w:val="30"/>
          <w:lang w:val="en-US" w:eastAsia="zh-CN"/>
        </w:rPr>
        <w:t>3</w:t>
      </w:r>
      <w:r>
        <w:rPr>
          <w:rFonts w:hint="eastAsia" w:ascii="仿宋" w:hAnsi="仿宋" w:eastAsia="仿宋"/>
          <w:b w:val="0"/>
          <w:bCs w:val="0"/>
          <w:sz w:val="30"/>
          <w:szCs w:val="30"/>
        </w:rPr>
        <w:t>年部门预算</w:t>
      </w:r>
      <w:r>
        <w:rPr>
          <w:rFonts w:hint="eastAsia" w:ascii="仿宋" w:hAnsi="仿宋" w:eastAsia="仿宋" w:cs="仿宋"/>
          <w:b w:val="0"/>
          <w:bCs w:val="0"/>
          <w:sz w:val="32"/>
          <w:szCs w:val="32"/>
          <w:lang w:val="en-US" w:eastAsia="zh-CN"/>
        </w:rPr>
        <w:t>201.66</w:t>
      </w:r>
      <w:r>
        <w:rPr>
          <w:rFonts w:hint="eastAsia" w:ascii="仿宋" w:hAnsi="仿宋" w:eastAsia="仿宋"/>
          <w:b w:val="0"/>
          <w:bCs w:val="0"/>
          <w:sz w:val="30"/>
          <w:szCs w:val="30"/>
        </w:rPr>
        <w:t>万元，预算执行</w:t>
      </w:r>
      <w:r>
        <w:rPr>
          <w:rFonts w:hint="eastAsia" w:ascii="仿宋" w:hAnsi="仿宋" w:eastAsia="仿宋" w:cs="仿宋"/>
          <w:b w:val="0"/>
          <w:bCs w:val="0"/>
          <w:sz w:val="32"/>
          <w:szCs w:val="32"/>
          <w:lang w:val="en-US" w:eastAsia="zh-CN"/>
        </w:rPr>
        <w:t>193.18</w:t>
      </w:r>
      <w:r>
        <w:rPr>
          <w:rFonts w:hint="eastAsia" w:ascii="仿宋" w:hAnsi="仿宋" w:eastAsia="仿宋"/>
          <w:b w:val="0"/>
          <w:bCs w:val="0"/>
          <w:sz w:val="30"/>
          <w:szCs w:val="30"/>
        </w:rPr>
        <w:t>万元，主要为人员工资福利支出、老干部活动支出、离休干部遗属补助支出等</w:t>
      </w:r>
      <w:r>
        <w:rPr>
          <w:rFonts w:hint="eastAsia" w:ascii="仿宋" w:hAnsi="仿宋" w:eastAsia="仿宋"/>
          <w:b w:val="0"/>
          <w:bCs w:val="0"/>
          <w:sz w:val="30"/>
          <w:szCs w:val="30"/>
          <w:lang w:eastAsia="zh-CN"/>
        </w:rPr>
        <w:t>，</w:t>
      </w:r>
      <w:r>
        <w:rPr>
          <w:rFonts w:hint="eastAsia" w:ascii="仿宋" w:hAnsi="仿宋" w:eastAsia="仿宋"/>
          <w:b w:val="0"/>
          <w:bCs w:val="0"/>
          <w:sz w:val="30"/>
          <w:szCs w:val="30"/>
        </w:rPr>
        <w:t>所有资金使用严格按有关财务制度执行。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cs="仿宋_GB2312"/>
          <w:sz w:val="32"/>
          <w:szCs w:val="40"/>
          <w:lang w:val="en-US" w:eastAsia="zh-CN"/>
        </w:rPr>
        <w:t>时效性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项目完成情况，年初安排的目标</w:t>
      </w:r>
      <w:r>
        <w:rPr>
          <w:rFonts w:hint="eastAsia" w:ascii="仿宋" w:hAnsi="仿宋" w:eastAsia="仿宋"/>
          <w:sz w:val="30"/>
          <w:szCs w:val="30"/>
          <w:lang w:eastAsia="zh-CN"/>
        </w:rPr>
        <w:t>年末</w:t>
      </w:r>
      <w:r>
        <w:rPr>
          <w:rFonts w:hint="eastAsia" w:ascii="仿宋" w:hAnsi="仿宋" w:eastAsia="仿宋"/>
          <w:sz w:val="30"/>
          <w:szCs w:val="30"/>
        </w:rPr>
        <w:t>均已按时完成。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3、效益性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rPr>
        <w:t>截</w:t>
      </w:r>
      <w:r>
        <w:rPr>
          <w:rFonts w:ascii="仿宋" w:hAnsi="仿宋" w:eastAsia="仿宋"/>
          <w:sz w:val="30"/>
          <w:szCs w:val="30"/>
        </w:rPr>
        <w:t>至目前</w:t>
      </w:r>
      <w:r>
        <w:rPr>
          <w:rFonts w:hint="eastAsia" w:ascii="仿宋" w:hAnsi="仿宋" w:eastAsia="仿宋"/>
          <w:sz w:val="30"/>
          <w:szCs w:val="30"/>
        </w:rPr>
        <w:t>，我中心认真做好服务老干部</w:t>
      </w:r>
      <w:r>
        <w:rPr>
          <w:rFonts w:hint="eastAsia" w:ascii="仿宋" w:hAnsi="仿宋" w:eastAsia="仿宋"/>
          <w:sz w:val="30"/>
          <w:szCs w:val="30"/>
          <w:lang w:eastAsia="zh-CN"/>
        </w:rPr>
        <w:t>工作，</w:t>
      </w:r>
      <w:r>
        <w:rPr>
          <w:rFonts w:hint="eastAsia" w:ascii="仿宋" w:hAnsi="仿宋" w:eastAsia="仿宋"/>
          <w:sz w:val="30"/>
          <w:szCs w:val="30"/>
        </w:rPr>
        <w:t>满意</w:t>
      </w:r>
      <w:r>
        <w:rPr>
          <w:rFonts w:hint="eastAsia" w:ascii="仿宋" w:hAnsi="仿宋" w:eastAsia="仿宋"/>
          <w:sz w:val="30"/>
          <w:szCs w:val="30"/>
          <w:lang w:eastAsia="zh-CN"/>
        </w:rPr>
        <w:t>度达标；开展帮扶帮教公益募捐活动和宣讲形式提高社会支持率。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4、可持续性</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pPr>
      <w:r>
        <w:rPr>
          <w:rFonts w:hint="eastAsia" w:ascii="仿宋" w:hAnsi="仿宋" w:eastAsia="仿宋"/>
          <w:sz w:val="30"/>
          <w:szCs w:val="30"/>
        </w:rPr>
        <w:t>从目前现状来看，我中心认真履行职责，在加强离退休干部政治建设、思想建设和党组织建设，做好离退休干部服务工作等方面继续发挥作用</w:t>
      </w:r>
      <w:r>
        <w:rPr>
          <w:rFonts w:hint="eastAsia" w:ascii="仿宋" w:hAnsi="仿宋" w:eastAsia="仿宋"/>
          <w:sz w:val="30"/>
          <w:szCs w:val="30"/>
          <w:lang w:eastAsia="zh-CN"/>
        </w:rPr>
        <w:t>，继续开展帮扶帮教公益募捐活动及主题宣讲活动，达到社会效益</w:t>
      </w:r>
      <w:r>
        <w:rPr>
          <w:rFonts w:hint="eastAsia" w:ascii="仿宋" w:hAnsi="仿宋" w:eastAsia="仿宋"/>
          <w:sz w:val="30"/>
          <w:szCs w:val="30"/>
        </w:rPr>
        <w:t>。</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numPr>
          <w:ilvl w:val="0"/>
          <w:numId w:val="0"/>
        </w:numPr>
        <w:suppressLineNumbers w:val="0"/>
        <w:ind w:leftChars="0"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五、主要经验及做法、存在的问题及原因分析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（一）主要问题及原因分析。</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一是全过程预算绩效管理制度体系不健全，工作流程和操作细节需进一步规范；二是全面推进预算绩效管理工作贯彻落实不够到位；三是有效进行项目绩效跟踪、绩效评价、绩效评价结果应用等工作有待加强。</w:t>
      </w:r>
    </w:p>
    <w:p>
      <w:pPr>
        <w:keepNext w:val="0"/>
        <w:keepLines w:val="0"/>
        <w:widowControl/>
        <w:suppressLineNumbers w:val="0"/>
        <w:jc w:val="left"/>
        <w:rPr>
          <w:rFonts w:hint="eastAsia" w:ascii="仿宋" w:hAnsi="仿宋" w:eastAsia="仿宋"/>
          <w:sz w:val="32"/>
          <w:szCs w:val="32"/>
          <w:lang w:val="en-US" w:eastAsia="zh-CN"/>
        </w:rPr>
      </w:pP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二）改进的方向和具体措施。 </w:t>
      </w:r>
    </w:p>
    <w:p>
      <w:pPr>
        <w:pStyle w:val="2"/>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是加强领导，精心组织，实现预算绩效目标全覆盖；二是积极开展绩效跟踪监控，及时纠偏，确保绩效目标实现；三是积极开展绩效自评工作，积极运用评价结果，提高资金使用效率；四是进一步修订完善相关制度，推进制度落实；五是积极同财政部门沟通，寻求预算绩效管理工作业务指导和技术支撑。</w:t>
      </w:r>
    </w:p>
    <w:p>
      <w:pPr>
        <w:keepNext w:val="0"/>
        <w:keepLines w:val="0"/>
        <w:widowControl/>
        <w:numPr>
          <w:ilvl w:val="0"/>
          <w:numId w:val="0"/>
        </w:numPr>
        <w:suppressLineNumbers w:val="0"/>
        <w:ind w:leftChars="0" w:firstLine="620" w:firstLineChars="200"/>
        <w:jc w:val="left"/>
        <w:rPr>
          <w:rFonts w:hint="eastAsia" w:ascii="黑体" w:hAnsi="宋体" w:eastAsia="黑体" w:cs="黑体"/>
          <w:color w:val="000000"/>
          <w:kern w:val="0"/>
          <w:sz w:val="31"/>
          <w:szCs w:val="31"/>
          <w:lang w:val="en-US" w:eastAsia="zh-CN" w:bidi="ar"/>
        </w:rPr>
      </w:pPr>
      <w:bookmarkStart w:id="0" w:name="_GoBack"/>
      <w:bookmarkEnd w:id="0"/>
      <w:r>
        <w:rPr>
          <w:rFonts w:hint="eastAsia" w:ascii="黑体" w:hAnsi="宋体" w:eastAsia="黑体" w:cs="黑体"/>
          <w:color w:val="000000"/>
          <w:kern w:val="0"/>
          <w:sz w:val="31"/>
          <w:szCs w:val="31"/>
          <w:lang w:val="en-US" w:eastAsia="zh-CN" w:bidi="ar"/>
        </w:rPr>
        <w:t xml:space="preserve">六、有关建议 </w:t>
      </w:r>
    </w:p>
    <w:p>
      <w:pPr>
        <w:keepNext w:val="0"/>
        <w:keepLines w:val="0"/>
        <w:widowControl/>
        <w:suppressLineNumbers w:val="0"/>
        <w:jc w:val="left"/>
        <w:rPr>
          <w:rFonts w:ascii="仿宋" w:hAnsi="仿宋" w:eastAsia="仿宋"/>
          <w:sz w:val="30"/>
          <w:szCs w:val="30"/>
        </w:rPr>
      </w:pPr>
      <w:r>
        <w:rPr>
          <w:rFonts w:hint="eastAsia" w:ascii="仿宋" w:hAnsi="仿宋" w:eastAsia="仿宋"/>
          <w:sz w:val="30"/>
          <w:szCs w:val="30"/>
          <w:lang w:eastAsia="zh-CN"/>
        </w:rPr>
        <w:t>　　</w:t>
      </w:r>
      <w:r>
        <w:rPr>
          <w:rFonts w:hint="eastAsia" w:ascii="仿宋" w:hAnsi="仿宋" w:eastAsia="仿宋"/>
          <w:sz w:val="30"/>
          <w:szCs w:val="30"/>
        </w:rPr>
        <w:t>加强绩效</w:t>
      </w:r>
      <w:r>
        <w:rPr>
          <w:rFonts w:ascii="仿宋" w:hAnsi="仿宋" w:eastAsia="仿宋"/>
          <w:sz w:val="30"/>
          <w:szCs w:val="30"/>
        </w:rPr>
        <w:t>管理制度建设</w:t>
      </w:r>
      <w:r>
        <w:rPr>
          <w:rFonts w:hint="eastAsia" w:ascii="仿宋" w:hAnsi="仿宋" w:eastAsia="仿宋"/>
          <w:sz w:val="30"/>
          <w:szCs w:val="30"/>
        </w:rPr>
        <w:t>，</w:t>
      </w:r>
      <w:r>
        <w:rPr>
          <w:rFonts w:ascii="仿宋" w:hAnsi="仿宋" w:eastAsia="仿宋"/>
          <w:sz w:val="30"/>
          <w:szCs w:val="30"/>
        </w:rPr>
        <w:t>完善绩效管理体系，</w:t>
      </w:r>
      <w:r>
        <w:rPr>
          <w:rFonts w:hint="eastAsia" w:ascii="仿宋" w:hAnsi="仿宋" w:eastAsia="仿宋"/>
          <w:sz w:val="30"/>
          <w:szCs w:val="30"/>
        </w:rPr>
        <w:t>建立全</w:t>
      </w:r>
      <w:r>
        <w:rPr>
          <w:rFonts w:ascii="仿宋" w:hAnsi="仿宋" w:eastAsia="仿宋"/>
          <w:sz w:val="30"/>
          <w:szCs w:val="30"/>
        </w:rPr>
        <w:t>过程的预算绩效管理机制，促进绩效管理工作向广度和深度的延伸。</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七、其他需要说明的问题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FBA42"/>
    <w:multiLevelType w:val="singleLevel"/>
    <w:tmpl w:val="1D1FBA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GMxNWFhZTM5ZTFjZGNjNjU2YjY1NDk3MGE0MDYifQ=="/>
  </w:docVars>
  <w:rsids>
    <w:rsidRoot w:val="4D1F7115"/>
    <w:rsid w:val="13131D30"/>
    <w:rsid w:val="20BB4216"/>
    <w:rsid w:val="4D1F7115"/>
    <w:rsid w:val="6BF13CAC"/>
    <w:rsid w:val="74E6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ind w:firstLine="200" w:firstLineChars="200"/>
      <w:outlineLvl w:val="0"/>
    </w:pPr>
    <w:rPr>
      <w:rFonts w:ascii="黑体" w:eastAsia="黑体"/>
      <w:bCs/>
      <w:szCs w:val="44"/>
    </w:rPr>
  </w:style>
  <w:style w:type="paragraph" w:styleId="4">
    <w:name w:val="heading 2"/>
    <w:basedOn w:val="1"/>
    <w:next w:val="1"/>
    <w:autoRedefine/>
    <w:qFormat/>
    <w:uiPriority w:val="9"/>
    <w:pPr>
      <w:ind w:firstLine="200" w:firstLineChars="200"/>
      <w:outlineLvl w:val="1"/>
    </w:pPr>
    <w:rPr>
      <w:rFonts w:ascii="楷体" w:eastAsia="楷体"/>
      <w:bCs/>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2024-04-18T07:41:00Z</dcterms:created>
  <dc:creator>张芸</dc:creator>
  <cp:lastModifiedBy>张芸</cp:lastModifiedBy>
  <dcterms:modified xsi:type="dcterms:W3CDTF">2024-04-18T10:50:13Z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1ADC28233DEA4E329EA270CD6A2D7F1A_11</vt:lpwstr>
  </property>
</Properties>
</file>